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6881">
      <w:pPr>
        <w:pStyle w:val="2"/>
        <w:spacing w:before="0" w:after="0" w:line="24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应答人须知</w:t>
      </w:r>
    </w:p>
    <w:p w14:paraId="4A468B51">
      <w:pPr>
        <w:rPr>
          <w:sz w:val="28"/>
          <w:szCs w:val="36"/>
        </w:rPr>
      </w:pPr>
      <w:bookmarkStart w:id="0" w:name="_Toc144974515"/>
      <w:bookmarkStart w:id="1" w:name="_Toc179632565"/>
      <w:bookmarkStart w:id="2" w:name="_Toc246996935"/>
      <w:bookmarkStart w:id="3" w:name="_Toc152045547"/>
      <w:bookmarkStart w:id="4" w:name="_Toc247085706"/>
      <w:bookmarkStart w:id="5" w:name="_Toc152042323"/>
      <w:bookmarkStart w:id="6" w:name="_Toc296602437"/>
      <w:bookmarkStart w:id="7" w:name="_Toc246996192"/>
      <w:r>
        <w:rPr>
          <w:rFonts w:hint="eastAsia"/>
          <w:sz w:val="28"/>
          <w:szCs w:val="36"/>
        </w:rPr>
        <w:t>一、 应答文件组成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27A59B2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应答文件应包括下列内容：</w:t>
      </w:r>
    </w:p>
    <w:p w14:paraId="26946805">
      <w:pPr>
        <w:rPr>
          <w:sz w:val="28"/>
          <w:szCs w:val="36"/>
        </w:rPr>
      </w:pPr>
      <w:bookmarkStart w:id="8" w:name="_Toc246996193"/>
      <w:bookmarkStart w:id="9" w:name="_Toc152045548"/>
      <w:bookmarkStart w:id="10" w:name="_Toc179632566"/>
      <w:bookmarkStart w:id="11" w:name="_Toc296602438"/>
      <w:bookmarkStart w:id="12" w:name="_Toc247085707"/>
      <w:bookmarkStart w:id="13" w:name="_Toc152042324"/>
      <w:bookmarkStart w:id="14" w:name="_Toc144974516"/>
      <w:bookmarkStart w:id="15" w:name="_Toc246996936"/>
      <w:r>
        <w:rPr>
          <w:rFonts w:hint="eastAsia"/>
          <w:sz w:val="28"/>
          <w:szCs w:val="36"/>
        </w:rPr>
        <w:t>（1）比选文件封面（封面必须注明“比选文件”字样，并标明正、副本，注明项目名称、投标人名称、日期）（盖公章）；</w:t>
      </w:r>
    </w:p>
    <w:p w14:paraId="740DED8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（2）投标文件目录（每项目录内容均须标注页码）；</w:t>
      </w:r>
    </w:p>
    <w:p w14:paraId="350EAA6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（3）应答人公司营业执照、法人身份证复印件；</w:t>
      </w:r>
    </w:p>
    <w:p w14:paraId="348C640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（4）授权委托书（盖公章）（详见附件1）；</w:t>
      </w:r>
    </w:p>
    <w:p w14:paraId="2672859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（5）报价明细表（盖公章）（详见附件2）；</w:t>
      </w:r>
    </w:p>
    <w:p w14:paraId="6BDED2E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（6）承诺书（详见附件3）；</w:t>
      </w:r>
    </w:p>
    <w:p w14:paraId="4162523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（7）盖有应答人公司公章的邀请函；</w:t>
      </w:r>
    </w:p>
    <w:p w14:paraId="243D8AD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（8）公司简介及近3年典型业绩的呈现。</w:t>
      </w:r>
    </w:p>
    <w:p w14:paraId="6977E8B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 应答报价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8AC3A5A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本次采购实行明细和总价报价方式，应答人应按照采购需求提供的工作内容报价，以人民币报价。</w:t>
      </w:r>
    </w:p>
    <w:p w14:paraId="6824FBDD">
      <w:pPr>
        <w:rPr>
          <w:sz w:val="28"/>
          <w:szCs w:val="36"/>
        </w:rPr>
      </w:pPr>
      <w:bookmarkStart w:id="16" w:name="_Toc247085711"/>
      <w:bookmarkStart w:id="17" w:name="_Toc144974521"/>
      <w:bookmarkStart w:id="18" w:name="_Toc152045553"/>
      <w:bookmarkStart w:id="19" w:name="_Toc246996940"/>
      <w:bookmarkStart w:id="20" w:name="_Toc179632571"/>
      <w:bookmarkStart w:id="21" w:name="_Toc246996197"/>
      <w:bookmarkStart w:id="22" w:name="_Toc152042329"/>
      <w:r>
        <w:rPr>
          <w:rFonts w:hint="eastAsia"/>
          <w:sz w:val="28"/>
          <w:szCs w:val="36"/>
        </w:rPr>
        <w:t>三、应答文件封装</w:t>
      </w:r>
    </w:p>
    <w:p w14:paraId="699A856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（1）应答文件正本一份，副本一份。每份正本和每份副本均需分别、单独制订。正本和副本的封面上应清楚地标记“正本”或“副本”的字样。当副本和正本不一致时，以正本为准。</w:t>
      </w:r>
    </w:p>
    <w:p w14:paraId="1550EC2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 应答文件的正本与副本应分别装订成册，应答文件（包括符合规定的书面修改通知）用A4纸竖向左侧装订，且各册禁止活页、塑料皮装订。</w:t>
      </w:r>
      <w:bookmarkEnd w:id="16"/>
      <w:bookmarkEnd w:id="17"/>
      <w:bookmarkEnd w:id="18"/>
      <w:bookmarkEnd w:id="19"/>
      <w:bookmarkEnd w:id="20"/>
      <w:bookmarkEnd w:id="21"/>
      <w:bookmarkEnd w:id="22"/>
      <w:bookmarkStart w:id="23" w:name="_Toc144974523"/>
      <w:bookmarkStart w:id="24" w:name="_Toc152042331"/>
      <w:bookmarkStart w:id="25" w:name="_Toc247085713"/>
      <w:bookmarkStart w:id="26" w:name="_Toc152045555"/>
      <w:bookmarkStart w:id="27" w:name="_Toc246996199"/>
      <w:bookmarkStart w:id="28" w:name="_Toc246996942"/>
      <w:bookmarkStart w:id="29" w:name="_Toc179632573"/>
    </w:p>
    <w:bookmarkEnd w:id="23"/>
    <w:bookmarkEnd w:id="24"/>
    <w:bookmarkEnd w:id="25"/>
    <w:bookmarkEnd w:id="26"/>
    <w:bookmarkEnd w:id="27"/>
    <w:bookmarkEnd w:id="28"/>
    <w:bookmarkEnd w:id="29"/>
    <w:p w14:paraId="15DF920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 应答文件应进行包装并加贴封条（正本与副本装一个档案袋），并在档案袋的封口处加盖应答人单位章。</w:t>
      </w:r>
    </w:p>
    <w:p w14:paraId="7575DA5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四、评审方法</w:t>
      </w:r>
    </w:p>
    <w:p w14:paraId="1A490B05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本次评审采用最低报价和</w:t>
      </w:r>
      <w:r>
        <w:rPr>
          <w:sz w:val="28"/>
          <w:szCs w:val="36"/>
        </w:rPr>
        <w:t>售后服务相结合的方法确定</w:t>
      </w:r>
      <w:r>
        <w:rPr>
          <w:rFonts w:hint="eastAsia"/>
          <w:sz w:val="28"/>
          <w:szCs w:val="36"/>
        </w:rPr>
        <w:t>。采购方对满足采购文件实质性要求的应答文件，根据报价直接确定成交方。最终报价相等的，由采购人或其授权的评审委员根据</w:t>
      </w:r>
      <w:r>
        <w:rPr>
          <w:sz w:val="28"/>
          <w:szCs w:val="36"/>
        </w:rPr>
        <w:t>过往业绩、承</w:t>
      </w:r>
      <w:r>
        <w:rPr>
          <w:rFonts w:hint="eastAsia"/>
          <w:sz w:val="28"/>
          <w:szCs w:val="36"/>
        </w:rPr>
        <w:t>诺</w:t>
      </w:r>
      <w:r>
        <w:rPr>
          <w:sz w:val="28"/>
          <w:szCs w:val="36"/>
        </w:rPr>
        <w:t>的售后服务</w:t>
      </w:r>
      <w:r>
        <w:rPr>
          <w:rFonts w:hint="eastAsia"/>
          <w:sz w:val="28"/>
          <w:szCs w:val="36"/>
        </w:rPr>
        <w:t>商量确定。</w:t>
      </w:r>
    </w:p>
    <w:p w14:paraId="08C7082D"/>
    <w:p w14:paraId="64B75E10"/>
    <w:p w14:paraId="73FA1B2D"/>
    <w:p w14:paraId="6F90104D"/>
    <w:p w14:paraId="6C59BA67"/>
    <w:p w14:paraId="173731EE"/>
    <w:p w14:paraId="691262C4"/>
    <w:p w14:paraId="7EE2A6E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C429EF"/>
    <w:p w14:paraId="1CFF666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p w14:paraId="040FD257">
      <w:pPr>
        <w:rPr>
          <w:sz w:val="28"/>
          <w:szCs w:val="36"/>
        </w:rPr>
      </w:pPr>
    </w:p>
    <w:p w14:paraId="2384D349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授权委托书</w:t>
      </w:r>
    </w:p>
    <w:p w14:paraId="24F32002">
      <w:pPr>
        <w:spacing w:line="200" w:lineRule="atLeast"/>
        <w:ind w:right="71"/>
        <w:rPr>
          <w:rFonts w:ascii="宋体" w:hAnsi="宋体"/>
          <w:spacing w:val="30"/>
          <w:sz w:val="24"/>
        </w:rPr>
      </w:pPr>
    </w:p>
    <w:p w14:paraId="6D09CD2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（姓名）系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（公司名称）的法定代表人，现委托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u w:val="single"/>
        </w:rPr>
        <w:t>四川西华科教资产经营投资有限责任公司</w:t>
      </w:r>
      <w:r>
        <w:rPr>
          <w:rFonts w:hint="eastAsia" w:ascii="宋体" w:hAnsi="宋体"/>
          <w:sz w:val="24"/>
          <w:u w:val="single"/>
          <w:lang w:val="en-US" w:eastAsia="zh-CN"/>
        </w:rPr>
        <w:t>经适房一期空置商铺租金评估项目</w:t>
      </w:r>
      <w:r>
        <w:rPr>
          <w:rFonts w:hint="eastAsia" w:ascii="宋体" w:hAnsi="宋体"/>
          <w:sz w:val="24"/>
        </w:rPr>
        <w:t>（项目名称）比选文件、签订合同和处理有关事宜，其法律后果由我方承担。</w:t>
      </w:r>
    </w:p>
    <w:p w14:paraId="68F6C38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委托期限：</w:t>
      </w:r>
      <w:r>
        <w:rPr>
          <w:rFonts w:hint="eastAsia" w:ascii="宋体" w:hAnsi="宋体"/>
          <w:sz w:val="24"/>
          <w:u w:val="single"/>
        </w:rPr>
        <w:t>自本授权书签署之日起至 “比选有效期”结束为止。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 w14:paraId="1AFF64E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代理人无转委托权。</w:t>
      </w:r>
    </w:p>
    <w:p w14:paraId="6286E71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附：法定代表人身份证复印件</w:t>
      </w:r>
    </w:p>
    <w:p w14:paraId="60E1202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授权委托人身份证复印件</w:t>
      </w:r>
    </w:p>
    <w:p w14:paraId="0EA8406F">
      <w:pPr>
        <w:spacing w:line="560" w:lineRule="exact"/>
        <w:ind w:right="71" w:hanging="2"/>
        <w:rPr>
          <w:rFonts w:ascii="宋体" w:hAnsi="宋体"/>
          <w:sz w:val="24"/>
        </w:rPr>
      </w:pPr>
    </w:p>
    <w:p w14:paraId="313AE412"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 w14:paraId="3F3AB283"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 w14:paraId="3F405084"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 w14:paraId="3371C97A"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 w14:paraId="193E8A3B"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 w14:paraId="0A26E4D5"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（单位盖章）</w:t>
      </w:r>
    </w:p>
    <w:p w14:paraId="7323B162"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1677FF50">
      <w:pPr>
        <w:rPr>
          <w:rFonts w:ascii="宋体" w:hAnsi="宋体"/>
          <w:spacing w:val="4"/>
          <w:sz w:val="24"/>
        </w:rPr>
      </w:pPr>
    </w:p>
    <w:p w14:paraId="1C483443">
      <w:pPr>
        <w:rPr>
          <w:rFonts w:ascii="宋体" w:hAnsi="宋体"/>
          <w:spacing w:val="4"/>
          <w:sz w:val="24"/>
        </w:rPr>
      </w:pPr>
    </w:p>
    <w:p w14:paraId="3F9FBEE8">
      <w:pPr>
        <w:widowControl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注：法定代表人亲自参与比选不需提供</w:t>
      </w:r>
    </w:p>
    <w:p w14:paraId="658B5072">
      <w:pPr>
        <w:rPr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1D39DB"/>
    <w:p w14:paraId="5B177CDB">
      <w:pPr>
        <w:rPr>
          <w:sz w:val="48"/>
          <w:szCs w:val="56"/>
        </w:rPr>
      </w:pPr>
      <w:r>
        <w:rPr>
          <w:rFonts w:hint="eastAsia"/>
          <w:sz w:val="28"/>
          <w:szCs w:val="36"/>
        </w:rPr>
        <w:t>附件2</w:t>
      </w:r>
    </w:p>
    <w:p w14:paraId="3D22FFA7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应答报价表</w:t>
      </w:r>
    </w:p>
    <w:tbl>
      <w:tblPr>
        <w:tblStyle w:val="3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716"/>
        <w:gridCol w:w="1873"/>
        <w:gridCol w:w="894"/>
      </w:tblGrid>
      <w:tr w14:paraId="6F81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exact"/>
          <w:jc w:val="center"/>
        </w:trPr>
        <w:tc>
          <w:tcPr>
            <w:tcW w:w="2689" w:type="dxa"/>
            <w:vAlign w:val="center"/>
          </w:tcPr>
          <w:p w14:paraId="6246F474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</w:t>
            </w:r>
          </w:p>
        </w:tc>
        <w:tc>
          <w:tcPr>
            <w:tcW w:w="4716" w:type="dxa"/>
            <w:vAlign w:val="center"/>
          </w:tcPr>
          <w:p w14:paraId="17639756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明细</w:t>
            </w:r>
          </w:p>
        </w:tc>
        <w:tc>
          <w:tcPr>
            <w:tcW w:w="1873" w:type="dxa"/>
            <w:vAlign w:val="center"/>
          </w:tcPr>
          <w:p w14:paraId="59D36918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</w:t>
            </w:r>
          </w:p>
        </w:tc>
        <w:tc>
          <w:tcPr>
            <w:tcW w:w="894" w:type="dxa"/>
            <w:vAlign w:val="center"/>
          </w:tcPr>
          <w:p w14:paraId="19E39FC6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</w:tr>
      <w:tr w14:paraId="12CE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restart"/>
            <w:vAlign w:val="center"/>
          </w:tcPr>
          <w:p w14:paraId="3A03DB31">
            <w:pPr>
              <w:snapToGrid w:val="0"/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四川西华科教资产经营投资有限责任公司</w:t>
            </w:r>
          </w:p>
          <w:p w14:paraId="2C176657">
            <w:pPr>
              <w:snapToGrid w:val="0"/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经适房一期空置商铺租金评估项目</w:t>
            </w:r>
            <w:bookmarkStart w:id="30" w:name="_GoBack"/>
            <w:bookmarkEnd w:id="30"/>
          </w:p>
        </w:tc>
        <w:tc>
          <w:tcPr>
            <w:tcW w:w="4716" w:type="dxa"/>
            <w:vAlign w:val="center"/>
          </w:tcPr>
          <w:p w14:paraId="74C65AEA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52971C1C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 w14:paraId="5D39219E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68D8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 w14:paraId="6129B07D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 w14:paraId="2A22E25A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4375FE87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 w14:paraId="2E1EA3DA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3CBB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 w14:paraId="2FAD3EAC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 w14:paraId="4C2C89C9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36455FB7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 w14:paraId="23B6FF55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3294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 w14:paraId="369F0485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 w14:paraId="52614046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7A53D273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 w14:paraId="4994AB66"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14:paraId="15DD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172" w:type="dxa"/>
            <w:gridSpan w:val="4"/>
            <w:vAlign w:val="center"/>
          </w:tcPr>
          <w:p w14:paraId="69FFFCCA">
            <w:pPr>
              <w:ind w:firstLine="1200" w:firstLineChars="5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总价大写：               元</w:t>
            </w:r>
          </w:p>
        </w:tc>
      </w:tr>
    </w:tbl>
    <w:p w14:paraId="1B683705"/>
    <w:p w14:paraId="0D8797A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2A7512C"/>
    <w:p w14:paraId="3610702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3</w:t>
      </w:r>
    </w:p>
    <w:p w14:paraId="17698A4B">
      <w:pPr>
        <w:jc w:val="center"/>
        <w:rPr>
          <w:sz w:val="40"/>
          <w:szCs w:val="48"/>
        </w:rPr>
      </w:pPr>
    </w:p>
    <w:p w14:paraId="578A2A14"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承诺书</w:t>
      </w:r>
    </w:p>
    <w:p w14:paraId="47887E12"/>
    <w:p w14:paraId="17209F2D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（对服务周期、服务质量及报价材料真实性的承诺）</w:t>
      </w:r>
    </w:p>
    <w:p w14:paraId="385C98AD">
      <w:pPr>
        <w:jc w:val="center"/>
        <w:rPr>
          <w:sz w:val="28"/>
          <w:szCs w:val="36"/>
        </w:rPr>
      </w:pPr>
    </w:p>
    <w:p w14:paraId="5E6F41AF">
      <w:pPr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         </w:t>
      </w:r>
      <w:r>
        <w:rPr>
          <w:rFonts w:hint="eastAsia"/>
          <w:sz w:val="28"/>
          <w:szCs w:val="36"/>
        </w:rPr>
        <w:t>（以下简称我司）保证提供的营业执照、法人身份证、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执业资格证书</w:t>
      </w:r>
      <w:r>
        <w:rPr>
          <w:rFonts w:hint="eastAsia"/>
          <w:sz w:val="28"/>
          <w:szCs w:val="36"/>
        </w:rPr>
        <w:t>复印件是真实、有效、合法，是可查询，可验证的，是合法的经营者。</w:t>
      </w:r>
    </w:p>
    <w:p w14:paraId="2F09D5E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我司保证此询价函报价真实，且保证严格按照合同要求执行。</w:t>
      </w:r>
    </w:p>
    <w:p w14:paraId="7D861B44">
      <w:pPr>
        <w:rPr>
          <w:sz w:val="28"/>
          <w:szCs w:val="36"/>
        </w:rPr>
      </w:pPr>
    </w:p>
    <w:p w14:paraId="6BD0AAB6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（公司名称）</w:t>
      </w:r>
    </w:p>
    <w:p w14:paraId="2E5C4D1D">
      <w:pPr>
        <w:jc w:val="right"/>
      </w:pPr>
      <w:r>
        <w:rPr>
          <w:rFonts w:hint="eastAsia"/>
          <w:sz w:val="28"/>
          <w:szCs w:val="36"/>
        </w:rPr>
        <w:t xml:space="preserve">   年   月   日</w:t>
      </w:r>
    </w:p>
    <w:p w14:paraId="1E885C37"/>
    <w:sectPr>
      <w:pgSz w:w="11906" w:h="16838"/>
      <w:pgMar w:top="1418" w:right="56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ZjJjYWYzZTlkOWE1NDg2NzY3YWQ5MzVmZDhmOWYifQ=="/>
  </w:docVars>
  <w:rsids>
    <w:rsidRoot w:val="075D6140"/>
    <w:rsid w:val="075D6140"/>
    <w:rsid w:val="6A8A2DC8"/>
    <w:rsid w:val="798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1006</Words>
  <Characters>1007</Characters>
  <Lines>0</Lines>
  <Paragraphs>0</Paragraphs>
  <TotalTime>18</TotalTime>
  <ScaleCrop>false</ScaleCrop>
  <LinksUpToDate>false</LinksUpToDate>
  <CharactersWithSpaces>1208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2024-05-13T01:53:00Z</dcterms:created>
  <dc:creator>Lenovo</dc:creator>
  <cp:lastModifiedBy>Diana</cp:lastModifiedBy>
  <dcterms:modified xsi:type="dcterms:W3CDTF">2025-03-24T07:21:39Z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D28780B6C1894F538E7899B09F6E93E1_11</vt:lpwstr>
  </property>
  <property fmtid="{D5CDD505-2E9C-101B-9397-08002B2CF9AE}" pid="4" name="KSOTemplateDocerSaveRecord">
    <vt:lpwstr>eyJoZGlkIjoiMmJiYTFkZjE2OWE1MDRmMDA4ZTc3MGYyODVkNGU3N2MiLCJ1c2VySWQiOiIyNDcyMzQ5NjgifQ==</vt:lpwstr>
  </property>
</Properties>
</file>